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药用聚乙二醇产品说明书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产品化学名称：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药用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聚乙二醇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产品应用：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药用聚乙二醇为水溶性药物制剂的重要辅料，常用于水溶性滴丸的赋形剂，软膏、栓剂软胶囊的基质；术前清肠剂及缓泻剂的主要原料，包衣粉中原料；化妆品中作为保湿剂应用。</w:t>
      </w:r>
    </w:p>
    <w:p>
      <w:pP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bCs w:val="0"/>
          <w:color w:val="FF0000"/>
          <w:kern w:val="0"/>
          <w:sz w:val="28"/>
          <w:szCs w:val="28"/>
          <w:lang w:eastAsia="zh-CN"/>
        </w:rPr>
        <w:t>产品种类</w:t>
      </w:r>
      <w: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  <w:t>：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926"/>
        <w:gridCol w:w="29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6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PEG-200</w:t>
            </w:r>
          </w:p>
        </w:tc>
        <w:tc>
          <w:tcPr>
            <w:tcW w:w="171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PEG-300</w:t>
            </w:r>
          </w:p>
        </w:tc>
        <w:tc>
          <w:tcPr>
            <w:tcW w:w="171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PEG-400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PEG-600</w:t>
            </w:r>
          </w:p>
        </w:tc>
        <w:tc>
          <w:tcPr>
            <w:tcW w:w="171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PEG-1000</w:t>
            </w:r>
          </w:p>
        </w:tc>
        <w:tc>
          <w:tcPr>
            <w:tcW w:w="171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PEG-1500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PEG-3350</w:t>
            </w:r>
          </w:p>
        </w:tc>
        <w:tc>
          <w:tcPr>
            <w:tcW w:w="171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PEG-4000</w:t>
            </w:r>
          </w:p>
        </w:tc>
        <w:tc>
          <w:tcPr>
            <w:tcW w:w="171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PEG-6000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PEG-8000</w:t>
            </w:r>
          </w:p>
        </w:tc>
        <w:tc>
          <w:tcPr>
            <w:tcW w:w="171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PEG-10000</w:t>
            </w:r>
          </w:p>
        </w:tc>
        <w:tc>
          <w:tcPr>
            <w:tcW w:w="171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PEG-20000</w:t>
            </w:r>
          </w:p>
        </w:tc>
      </w:tr>
    </w:tbl>
    <w:p>
      <w:pPr>
        <w:widowControl/>
        <w:spacing w:before="100" w:beforeAutospacing="1" w:after="100" w:afterAutospacing="1"/>
        <w:rPr>
          <w:rFonts w:hint="default" w:ascii="Times New Roman" w:hAnsi="宋体" w:eastAsia="宋体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  <w:lang w:val="en-US" w:eastAsia="zh-CN"/>
        </w:rPr>
        <w:t>注：聚乙二醇系列产品符合现行《中国药典》、《欧洲药典》、《美国药典》的标准。</w:t>
      </w:r>
    </w:p>
    <w:p>
      <w:pPr>
        <w:widowControl/>
        <w:spacing w:before="100" w:beforeAutospacing="1" w:after="100" w:afterAutospacing="1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包装规格：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  <w:lang w:val="en-US" w:eastAsia="zh-CN"/>
        </w:rPr>
        <w:t>液体产品采用25KG/桶或200Kg/桶包装，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片状产品采用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25kg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/>
        </w:rPr>
        <w:t>或20Kg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复合塑料编织袋或纸袋包装；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贮运条件：</w:t>
      </w:r>
      <w:r>
        <w:rPr>
          <w:rFonts w:hint="eastAsia" w:ascii="Times New Roman" w:hAnsi="宋体" w:eastAsia="宋体" w:cs="Times New Roman"/>
          <w:b/>
          <w:bCs/>
          <w:color w:val="FF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系列产品无毒，不易燃，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在运输过程中应防止日晒、雨林，保持包装完整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。贮存于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阴凉、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干燥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通风处。</w:t>
      </w:r>
    </w:p>
    <w:p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产品保质期：</w:t>
      </w:r>
      <w:r>
        <w:rPr>
          <w:rFonts w:hint="eastAsia" w:ascii="Times New Roman" w:hAnsi="宋体" w:eastAsia="宋体" w:cs="Times New Roman"/>
          <w:b/>
          <w:bCs/>
          <w:color w:val="FF0000"/>
          <w:kern w:val="0"/>
          <w:sz w:val="28"/>
          <w:szCs w:val="28"/>
          <w:lang w:val="en-US" w:eastAsia="zh-CN"/>
        </w:rPr>
        <w:t xml:space="preserve"> </w:t>
      </w:r>
      <w:r>
        <w:rPr>
          <w:rFonts w:ascii="Times New Roman" w:hAnsi="宋体" w:eastAsia="宋体" w:cs="Times New Roman"/>
          <w:kern w:val="0"/>
          <w:sz w:val="28"/>
          <w:szCs w:val="28"/>
        </w:rPr>
        <w:t>在规定的贮运条件下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产品的保质期为2</w:t>
      </w:r>
      <w:bookmarkStart w:id="0" w:name="_GoBack"/>
      <w:bookmarkEnd w:id="0"/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年</w:t>
      </w:r>
      <w:r>
        <w:rPr>
          <w:rFonts w:ascii="Times New Roman" w:hAnsi="宋体" w:eastAsia="宋体" w:cs="Times New Roman"/>
          <w:kern w:val="0"/>
          <w:sz w:val="28"/>
          <w:szCs w:val="28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</w:pPr>
    <w:r>
      <w:rPr>
        <w:rFonts w:hint="eastAsia" w:ascii="宋体" w:hAnsi="宋体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 xml:space="preserve">共创共享  </w:t>
    </w:r>
  </w:p>
  <w:p>
    <w:pPr>
      <w:pStyle w:val="3"/>
      <w:ind w:firstLine="1050" w:firstLineChars="500"/>
      <w:jc w:val="left"/>
      <w:rPr>
        <w:rFonts w:hint="default" w:ascii="楷体" w:hAnsi="楷体" w:eastAsia="楷体" w:cs="楷体"/>
        <w:sz w:val="24"/>
        <w:szCs w:val="24"/>
        <w:lang w:val="en-US" w:eastAsia="zh-CN"/>
      </w:rPr>
    </w:pP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>OXRIAN Chemical Company                                     共和共荣</w:t>
    </w:r>
    <w:r>
      <w:rPr>
        <w:rFonts w:hint="eastAsia" w:ascii="楷体" w:hAnsi="楷体" w:eastAsia="楷体" w:cs="楷体"/>
        <w:color w:val="4472C4" w:themeColor="accent5"/>
        <w:sz w:val="21"/>
        <w:szCs w:val="21"/>
        <w:lang w:val="en-US" w:eastAsia="zh-CN"/>
        <w14:textFill>
          <w14:solidFill>
            <w14:schemeClr w14:val="accent5"/>
          </w14:solidFill>
        </w14:textFill>
      </w:rPr>
      <w:t xml:space="preserve"> </w:t>
    </w:r>
    <w:r>
      <w:rPr>
        <w:rFonts w:hint="eastAsia" w:ascii="宋体" w:hAnsi="宋体"/>
        <w:sz w:val="28"/>
        <w:szCs w:val="28"/>
        <w:lang w:val="en-US" w:eastAsia="zh-CN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77148"/>
    <w:rsid w:val="0C8F6952"/>
    <w:rsid w:val="0FCF3B10"/>
    <w:rsid w:val="16EF233D"/>
    <w:rsid w:val="1CA27B7C"/>
    <w:rsid w:val="22C043B7"/>
    <w:rsid w:val="25C6073E"/>
    <w:rsid w:val="3E156FCD"/>
    <w:rsid w:val="43B05C1E"/>
    <w:rsid w:val="45FC6DF1"/>
    <w:rsid w:val="47951052"/>
    <w:rsid w:val="5028391C"/>
    <w:rsid w:val="5AF237BA"/>
    <w:rsid w:val="63AF1989"/>
    <w:rsid w:val="6BB60439"/>
    <w:rsid w:val="6E3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2021-05-11T07:36:00Z</dcterms:created>
  <dc:creator>jyp13</dc:creator>
  <cp:lastModifiedBy>Administrator</cp:lastModifiedBy>
  <dcterms:modified xsi:type="dcterms:W3CDTF">2021-05-13T01:53:18Z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B1500B94E8924CBCA8D5D8AA9A84E4D3</vt:lpwstr>
  </property>
</Properties>
</file>